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6E63E" w14:textId="77777777" w:rsidR="002F049F" w:rsidRPr="00561B99" w:rsidRDefault="002F049F" w:rsidP="002F049F">
      <w:pPr>
        <w:spacing w:before="60" w:after="0" w:line="240" w:lineRule="auto"/>
        <w:ind w:left="60"/>
        <w:jc w:val="both"/>
        <w:rPr>
          <w:rFonts w:ascii="Times New Roman" w:eastAsia="Times New Roman" w:hAnsi="Times New Roman"/>
          <w:szCs w:val="24"/>
        </w:rPr>
      </w:pPr>
      <w:r w:rsidRPr="00561B99">
        <w:rPr>
          <w:rFonts w:ascii="Times New Roman" w:eastAsia="Times New Roman" w:hAnsi="Times New Roman"/>
          <w:szCs w:val="24"/>
        </w:rPr>
        <w:t xml:space="preserve">Tehniskā specifikācija, saskaņā ar standarta LVS EN 14961-1:2010(E) normatīviem </w:t>
      </w:r>
    </w:p>
    <w:p w14:paraId="7A7BAC11" w14:textId="77777777" w:rsidR="002F049F" w:rsidRPr="00561B99" w:rsidRDefault="002F049F" w:rsidP="002F049F">
      <w:pPr>
        <w:spacing w:before="60" w:after="0" w:line="240" w:lineRule="auto"/>
        <w:ind w:left="420"/>
        <w:jc w:val="both"/>
        <w:rPr>
          <w:rFonts w:ascii="Times New Roman" w:eastAsia="Times New Roman" w:hAnsi="Times New Roman"/>
          <w:szCs w:val="24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386"/>
      </w:tblGrid>
      <w:tr w:rsidR="002F049F" w:rsidRPr="00561B99" w14:paraId="45FD6048" w14:textId="77777777" w:rsidTr="002F049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F651" w14:textId="77777777" w:rsidR="002F049F" w:rsidRPr="00561B99" w:rsidRDefault="002F0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lv-LV"/>
              </w:rPr>
            </w:pPr>
            <w:r w:rsidRPr="00561B99">
              <w:rPr>
                <w:rFonts w:ascii="Times New Roman" w:eastAsia="Times New Roman" w:hAnsi="Times New Roman"/>
                <w:szCs w:val="24"/>
                <w:lang w:eastAsia="lv-LV"/>
              </w:rPr>
              <w:t>Šķeldas parametri</w:t>
            </w:r>
          </w:p>
          <w:p w14:paraId="08EA823B" w14:textId="77777777" w:rsidR="002F049F" w:rsidRPr="00561B99" w:rsidRDefault="002F0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lv-LV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CE34" w14:textId="77777777" w:rsidR="002F049F" w:rsidRPr="00561B99" w:rsidRDefault="002F049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Cs w:val="24"/>
                <w:lang w:eastAsia="lv-LV"/>
              </w:rPr>
            </w:pPr>
            <w:r w:rsidRPr="00561B99">
              <w:rPr>
                <w:rFonts w:ascii="Times New Roman" w:eastAsia="Times New Roman" w:hAnsi="Times New Roman"/>
                <w:szCs w:val="24"/>
                <w:lang w:eastAsia="lv-LV"/>
              </w:rPr>
              <w:t>Daudzums masā</w:t>
            </w:r>
          </w:p>
        </w:tc>
      </w:tr>
      <w:tr w:rsidR="002F049F" w:rsidRPr="00561B99" w14:paraId="04D5FDFD" w14:textId="77777777" w:rsidTr="002F049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637742" w14:textId="77777777" w:rsidR="002F049F" w:rsidRPr="00561B99" w:rsidRDefault="002F0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lv-LV"/>
              </w:rPr>
            </w:pPr>
            <w:r w:rsidRPr="00561B99">
              <w:rPr>
                <w:rFonts w:ascii="Times New Roman" w:eastAsia="Times New Roman" w:hAnsi="Times New Roman"/>
                <w:szCs w:val="24"/>
                <w:lang w:eastAsia="lv-LV"/>
              </w:rPr>
              <w:t>Izmēri (P), P100</w:t>
            </w:r>
          </w:p>
          <w:p w14:paraId="16E2F54C" w14:textId="77777777" w:rsidR="002F049F" w:rsidRPr="00561B99" w:rsidRDefault="002F049F" w:rsidP="007838B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61B99">
              <w:rPr>
                <w:rFonts w:ascii="Times New Roman" w:hAnsi="Times New Roman"/>
                <w:szCs w:val="24"/>
              </w:rPr>
              <w:t xml:space="preserve"> pamata frakcijas</w:t>
            </w:r>
          </w:p>
          <w:p w14:paraId="1BE921AE" w14:textId="77777777" w:rsidR="002F049F" w:rsidRPr="00561B99" w:rsidRDefault="002F049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61B99">
              <w:rPr>
                <w:rFonts w:ascii="Times New Roman" w:hAnsi="Times New Roman"/>
                <w:szCs w:val="24"/>
              </w:rPr>
              <w:t xml:space="preserve">     16≤P≤100 mm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BDC51C" w14:textId="77777777" w:rsidR="002F049F" w:rsidRPr="00561B99" w:rsidRDefault="002F049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Cs w:val="24"/>
                <w:lang w:eastAsia="lv-LV"/>
              </w:rPr>
            </w:pPr>
          </w:p>
          <w:p w14:paraId="603FA627" w14:textId="77777777" w:rsidR="002F049F" w:rsidRPr="00561B99" w:rsidRDefault="002F0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lv-LV"/>
              </w:rPr>
            </w:pPr>
            <w:r w:rsidRPr="00561B99">
              <w:rPr>
                <w:rFonts w:ascii="Times New Roman" w:eastAsia="Times New Roman" w:hAnsi="Times New Roman"/>
                <w:szCs w:val="24"/>
                <w:lang w:eastAsia="lv-LV"/>
              </w:rPr>
              <w:t>≥75%</w:t>
            </w:r>
          </w:p>
        </w:tc>
      </w:tr>
      <w:tr w:rsidR="002F049F" w:rsidRPr="00561B99" w14:paraId="2B54675F" w14:textId="77777777" w:rsidTr="002F049F"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7D81E4" w14:textId="77777777" w:rsidR="002F049F" w:rsidRPr="00561B99" w:rsidRDefault="002F049F" w:rsidP="007838B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61B99">
              <w:rPr>
                <w:rFonts w:ascii="Times New Roman" w:hAnsi="Times New Roman"/>
                <w:szCs w:val="24"/>
              </w:rPr>
              <w:t>smalkās frakcijas</w:t>
            </w:r>
          </w:p>
          <w:p w14:paraId="09ECDD66" w14:textId="77777777" w:rsidR="002F049F" w:rsidRPr="00561B99" w:rsidRDefault="002F049F">
            <w:pPr>
              <w:spacing w:after="0" w:line="240" w:lineRule="auto"/>
              <w:ind w:left="405"/>
              <w:jc w:val="both"/>
              <w:rPr>
                <w:rFonts w:ascii="Times New Roman" w:hAnsi="Times New Roman"/>
                <w:szCs w:val="24"/>
              </w:rPr>
            </w:pPr>
            <w:r w:rsidRPr="00561B99">
              <w:rPr>
                <w:rFonts w:ascii="Times New Roman" w:hAnsi="Times New Roman"/>
                <w:szCs w:val="24"/>
              </w:rPr>
              <w:t>P&lt;3,15 mm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F6562A" w14:textId="77777777" w:rsidR="002F049F" w:rsidRPr="00561B99" w:rsidRDefault="002F049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61B99">
              <w:rPr>
                <w:rFonts w:ascii="Times New Roman" w:hAnsi="Times New Roman"/>
                <w:szCs w:val="24"/>
              </w:rPr>
              <w:t>≤4%</w:t>
            </w:r>
          </w:p>
        </w:tc>
      </w:tr>
      <w:tr w:rsidR="002F049F" w:rsidRPr="00561B99" w14:paraId="35883924" w14:textId="77777777" w:rsidTr="002F049F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6061" w14:textId="77777777" w:rsidR="002F049F" w:rsidRPr="00561B99" w:rsidRDefault="002F049F" w:rsidP="007838B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61B99">
              <w:rPr>
                <w:rFonts w:ascii="Times New Roman" w:hAnsi="Times New Roman"/>
                <w:szCs w:val="24"/>
              </w:rPr>
              <w:t>rupjās frakcijas</w:t>
            </w:r>
          </w:p>
          <w:p w14:paraId="22946446" w14:textId="77777777" w:rsidR="002F049F" w:rsidRPr="00561B99" w:rsidRDefault="002F049F">
            <w:pPr>
              <w:spacing w:after="0" w:line="240" w:lineRule="auto"/>
              <w:ind w:left="405"/>
              <w:jc w:val="both"/>
              <w:rPr>
                <w:rFonts w:ascii="Times New Roman" w:hAnsi="Times New Roman"/>
                <w:szCs w:val="24"/>
              </w:rPr>
            </w:pPr>
            <w:r w:rsidRPr="00561B99">
              <w:rPr>
                <w:rFonts w:ascii="Times New Roman" w:hAnsi="Times New Roman"/>
                <w:szCs w:val="24"/>
              </w:rPr>
              <w:t>200&lt;P&lt;350 mm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8EA6" w14:textId="77777777" w:rsidR="002F049F" w:rsidRPr="00561B99" w:rsidRDefault="002F049F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Cs w:val="24"/>
              </w:rPr>
            </w:pPr>
            <w:r w:rsidRPr="00561B99">
              <w:rPr>
                <w:rFonts w:ascii="Times New Roman" w:hAnsi="Times New Roman"/>
                <w:szCs w:val="24"/>
              </w:rPr>
              <w:t>≤6%</w:t>
            </w:r>
          </w:p>
        </w:tc>
      </w:tr>
      <w:tr w:rsidR="002F049F" w:rsidRPr="00561B99" w14:paraId="491A599F" w14:textId="77777777" w:rsidTr="002F049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F4D1" w14:textId="77777777" w:rsidR="002F049F" w:rsidRPr="00561B99" w:rsidRDefault="002F049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61B99">
              <w:rPr>
                <w:rFonts w:ascii="Times New Roman" w:hAnsi="Times New Roman"/>
                <w:szCs w:val="24"/>
              </w:rPr>
              <w:t>Pelni, A3.0</w:t>
            </w:r>
          </w:p>
          <w:p w14:paraId="4730CE7E" w14:textId="77777777" w:rsidR="002F049F" w:rsidRPr="00561B99" w:rsidRDefault="002F049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E8613" w14:textId="68E0513A" w:rsidR="002F049F" w:rsidRPr="00561B99" w:rsidRDefault="002F049F">
            <w:pPr>
              <w:jc w:val="both"/>
              <w:rPr>
                <w:rFonts w:ascii="Times New Roman" w:hAnsi="Times New Roman"/>
                <w:szCs w:val="24"/>
              </w:rPr>
            </w:pPr>
            <w:r w:rsidRPr="00561B99">
              <w:rPr>
                <w:rFonts w:ascii="Times New Roman" w:hAnsi="Times New Roman"/>
                <w:szCs w:val="24"/>
              </w:rPr>
              <w:t xml:space="preserve">≤ </w:t>
            </w:r>
            <w:r w:rsidR="00D7662F" w:rsidRPr="00561B99">
              <w:rPr>
                <w:rFonts w:ascii="Times New Roman" w:hAnsi="Times New Roman"/>
                <w:szCs w:val="24"/>
              </w:rPr>
              <w:t>1,2</w:t>
            </w:r>
            <w:r w:rsidRPr="00561B99">
              <w:rPr>
                <w:rFonts w:ascii="Times New Roman" w:hAnsi="Times New Roman"/>
                <w:szCs w:val="24"/>
              </w:rPr>
              <w:t xml:space="preserve"> %</w:t>
            </w:r>
          </w:p>
        </w:tc>
      </w:tr>
      <w:tr w:rsidR="002F049F" w:rsidRPr="00561B99" w14:paraId="0B0438CB" w14:textId="77777777" w:rsidTr="002F049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16FC" w14:textId="77777777" w:rsidR="002F049F" w:rsidRPr="00561B99" w:rsidRDefault="002F049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61B99">
              <w:rPr>
                <w:rFonts w:ascii="Times New Roman" w:hAnsi="Times New Roman"/>
                <w:szCs w:val="24"/>
              </w:rPr>
              <w:t>Mitruma saturs, M55</w:t>
            </w:r>
          </w:p>
          <w:p w14:paraId="2C977C71" w14:textId="77777777" w:rsidR="002F049F" w:rsidRPr="00561B99" w:rsidRDefault="002F049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DCC0C" w14:textId="3015E02F" w:rsidR="002F049F" w:rsidRPr="00561B99" w:rsidRDefault="00D7662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61B99">
              <w:rPr>
                <w:rFonts w:ascii="Times New Roman" w:hAnsi="Times New Roman"/>
                <w:szCs w:val="24"/>
              </w:rPr>
              <w:t>38</w:t>
            </w:r>
            <w:r w:rsidR="002F049F" w:rsidRPr="00561B99">
              <w:rPr>
                <w:rFonts w:ascii="Times New Roman" w:hAnsi="Times New Roman"/>
                <w:szCs w:val="24"/>
              </w:rPr>
              <w:t>-5</w:t>
            </w:r>
            <w:r w:rsidRPr="00561B99">
              <w:rPr>
                <w:rFonts w:ascii="Times New Roman" w:hAnsi="Times New Roman"/>
                <w:szCs w:val="24"/>
              </w:rPr>
              <w:t>2</w:t>
            </w:r>
            <w:r w:rsidR="002F049F" w:rsidRPr="00561B99">
              <w:rPr>
                <w:rFonts w:ascii="Times New Roman" w:hAnsi="Times New Roman"/>
                <w:szCs w:val="24"/>
              </w:rPr>
              <w:t>%</w:t>
            </w:r>
          </w:p>
          <w:p w14:paraId="3CD9CFC3" w14:textId="77777777" w:rsidR="002F049F" w:rsidRPr="00561B99" w:rsidRDefault="002F049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F049F" w14:paraId="42D6A51F" w14:textId="77777777" w:rsidTr="002F049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8C21" w14:textId="77777777" w:rsidR="002F049F" w:rsidRPr="00561B99" w:rsidRDefault="002F0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lv-LV"/>
              </w:rPr>
            </w:pPr>
            <w:r w:rsidRPr="00561B99">
              <w:rPr>
                <w:rFonts w:ascii="Times New Roman" w:eastAsia="Times New Roman" w:hAnsi="Times New Roman"/>
                <w:szCs w:val="24"/>
                <w:lang w:eastAsia="lv-LV"/>
              </w:rPr>
              <w:t>Sastāvs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934B" w14:textId="00990E04" w:rsidR="002F049F" w:rsidRDefault="002F04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lv-LV"/>
              </w:rPr>
            </w:pPr>
            <w:r w:rsidRPr="00561B99">
              <w:rPr>
                <w:rFonts w:ascii="Times New Roman" w:eastAsia="Times New Roman" w:hAnsi="Times New Roman"/>
                <w:szCs w:val="24"/>
                <w:lang w:eastAsia="lv-LV"/>
              </w:rPr>
              <w:t>Šķeldā nedrīkst būt svešķermeņi (ledus, akmeņi, grunts,</w:t>
            </w:r>
            <w:r w:rsidR="00D7662F" w:rsidRPr="00561B99">
              <w:rPr>
                <w:rFonts w:ascii="Times New Roman" w:eastAsia="Times New Roman" w:hAnsi="Times New Roman"/>
                <w:szCs w:val="24"/>
                <w:lang w:eastAsia="lv-LV"/>
              </w:rPr>
              <w:t xml:space="preserve"> smilts,</w:t>
            </w:r>
            <w:r w:rsidRPr="00561B99">
              <w:rPr>
                <w:rFonts w:ascii="Times New Roman" w:eastAsia="Times New Roman" w:hAnsi="Times New Roman"/>
                <w:szCs w:val="24"/>
                <w:lang w:eastAsia="lv-LV"/>
              </w:rPr>
              <w:t xml:space="preserve"> metāla priekšmeti u.c.), kas var izraisīt kurināmā padeves mehānismu</w:t>
            </w:r>
            <w:r w:rsidR="00D7662F" w:rsidRPr="00561B99">
              <w:rPr>
                <w:rFonts w:ascii="Times New Roman" w:eastAsia="Times New Roman" w:hAnsi="Times New Roman"/>
                <w:szCs w:val="24"/>
                <w:lang w:eastAsia="lv-LV"/>
              </w:rPr>
              <w:t xml:space="preserve"> un citu mehānismu vai iekārtu</w:t>
            </w:r>
            <w:r w:rsidRPr="00561B99">
              <w:rPr>
                <w:rFonts w:ascii="Times New Roman" w:eastAsia="Times New Roman" w:hAnsi="Times New Roman"/>
                <w:szCs w:val="24"/>
                <w:lang w:eastAsia="lv-LV"/>
              </w:rPr>
              <w:t xml:space="preserve"> apstāšanos un bojājumu</w:t>
            </w:r>
            <w:r w:rsidR="00D7662F" w:rsidRPr="00561B99">
              <w:rPr>
                <w:rFonts w:ascii="Times New Roman" w:eastAsia="Times New Roman" w:hAnsi="Times New Roman"/>
                <w:szCs w:val="24"/>
                <w:lang w:eastAsia="lv-LV"/>
              </w:rPr>
              <w:t>s</w:t>
            </w:r>
            <w:r w:rsidRPr="00561B99">
              <w:rPr>
                <w:rFonts w:ascii="Times New Roman" w:eastAsia="Times New Roman" w:hAnsi="Times New Roman"/>
                <w:szCs w:val="24"/>
                <w:lang w:eastAsia="lv-LV"/>
              </w:rPr>
              <w:t>. Nav pieļaujama šķeldas piegāde ar ķīmiskas piedevas saturošiem kokapstrādes atkritumiem (finiera, skaidu plašu u.c. atkritumi) un zaļo biomasu (skujas, lapas,zari u.c.). Vienā autokravā piegādātai šķeldai jābūt vienmērīgi sajauktai.</w:t>
            </w:r>
          </w:p>
        </w:tc>
      </w:tr>
      <w:tr w:rsidR="00561B99" w14:paraId="171EB267" w14:textId="77777777" w:rsidTr="002F049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93C3" w14:textId="0ABF724E" w:rsidR="00561B99" w:rsidRPr="00561B99" w:rsidRDefault="00561B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Cs w:val="24"/>
                <w:lang w:eastAsia="lv-LV"/>
              </w:rPr>
              <w:t>Izcelsme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58F0" w14:textId="6711F7C9" w:rsidR="00561B99" w:rsidRPr="00561B99" w:rsidRDefault="00561B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Cs w:val="24"/>
                <w:lang w:eastAsia="lv-LV"/>
              </w:rPr>
              <w:t>ES</w:t>
            </w:r>
          </w:p>
        </w:tc>
      </w:tr>
    </w:tbl>
    <w:p w14:paraId="3F898049" w14:textId="77777777" w:rsidR="00F761F6" w:rsidRDefault="00F761F6"/>
    <w:sectPr w:rsidR="00F761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398E"/>
    <w:multiLevelType w:val="hybridMultilevel"/>
    <w:tmpl w:val="9372079A"/>
    <w:lvl w:ilvl="0" w:tplc="ACB06A4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C4394"/>
    <w:multiLevelType w:val="multilevel"/>
    <w:tmpl w:val="E24E77F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8"/>
      <w:numFmt w:val="decimal"/>
      <w:isLgl/>
      <w:lvlText w:val="%1.%2."/>
      <w:lvlJc w:val="left"/>
      <w:pPr>
        <w:ind w:left="1149" w:hanging="765"/>
      </w:pPr>
    </w:lvl>
    <w:lvl w:ilvl="2">
      <w:start w:val="1"/>
      <w:numFmt w:val="decimal"/>
      <w:isLgl/>
      <w:lvlText w:val="%1.%2.%3."/>
      <w:lvlJc w:val="left"/>
      <w:pPr>
        <w:ind w:left="1473" w:hanging="765"/>
      </w:pPr>
    </w:lvl>
    <w:lvl w:ilvl="3">
      <w:start w:val="1"/>
      <w:numFmt w:val="decimal"/>
      <w:isLgl/>
      <w:lvlText w:val="%1.%2.%3.%4."/>
      <w:lvlJc w:val="left"/>
      <w:pPr>
        <w:ind w:left="2112" w:hanging="1080"/>
      </w:pPr>
    </w:lvl>
    <w:lvl w:ilvl="4">
      <w:start w:val="1"/>
      <w:numFmt w:val="decimal"/>
      <w:isLgl/>
      <w:lvlText w:val="%1.%2.%3.%4.%5."/>
      <w:lvlJc w:val="left"/>
      <w:pPr>
        <w:ind w:left="2436" w:hanging="1080"/>
      </w:pPr>
    </w:lvl>
    <w:lvl w:ilvl="5">
      <w:start w:val="1"/>
      <w:numFmt w:val="decimal"/>
      <w:isLgl/>
      <w:lvlText w:val="%1.%2.%3.%4.%5.%6."/>
      <w:lvlJc w:val="left"/>
      <w:pPr>
        <w:ind w:left="3120" w:hanging="1440"/>
      </w:pPr>
    </w:lvl>
    <w:lvl w:ilvl="6">
      <w:start w:val="1"/>
      <w:numFmt w:val="decimal"/>
      <w:isLgl/>
      <w:lvlText w:val="%1.%2.%3.%4.%5.%6.%7."/>
      <w:lvlJc w:val="left"/>
      <w:pPr>
        <w:ind w:left="3444" w:hanging="1440"/>
      </w:pPr>
    </w:lvl>
    <w:lvl w:ilvl="7">
      <w:start w:val="1"/>
      <w:numFmt w:val="decimal"/>
      <w:isLgl/>
      <w:lvlText w:val="%1.%2.%3.%4.%5.%6.%7.%8."/>
      <w:lvlJc w:val="left"/>
      <w:pPr>
        <w:ind w:left="4128" w:hanging="1800"/>
      </w:pPr>
    </w:lvl>
    <w:lvl w:ilvl="8">
      <w:start w:val="1"/>
      <w:numFmt w:val="decimal"/>
      <w:isLgl/>
      <w:lvlText w:val="%1.%2.%3.%4.%5.%6.%7.%8.%9."/>
      <w:lvlJc w:val="left"/>
      <w:pPr>
        <w:ind w:left="4812" w:hanging="2160"/>
      </w:pPr>
    </w:lvl>
  </w:abstractNum>
  <w:num w:numId="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9F"/>
    <w:rsid w:val="002F049F"/>
    <w:rsid w:val="004F750D"/>
    <w:rsid w:val="00561B99"/>
    <w:rsid w:val="0081627F"/>
    <w:rsid w:val="00D61C8A"/>
    <w:rsid w:val="00D7662F"/>
    <w:rsid w:val="00F7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501BAB"/>
  <w15:docId w15:val="{2FC85D34-4A18-41B3-87A8-164342A6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49F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iveta.civcisa</dc:creator>
  <cp:lastModifiedBy>iveta.civcisa</cp:lastModifiedBy>
  <cp:revision>2</cp:revision>
  <dcterms:created xsi:type="dcterms:W3CDTF">2021-11-17T09:03:00Z</dcterms:created>
  <dcterms:modified xsi:type="dcterms:W3CDTF">2021-11-17T09:03:00Z</dcterms:modified>
</cp:coreProperties>
</file>