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8542" w14:textId="69AF07D3" w:rsidR="00865417" w:rsidRDefault="00AF531C" w:rsidP="00865417">
      <w:pPr>
        <w:widowControl w:val="0"/>
        <w:autoSpaceDE w:val="0"/>
        <w:autoSpaceDN w:val="0"/>
        <w:adjustRightInd w:val="0"/>
        <w:spacing w:after="0" w:line="260" w:lineRule="atLeast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Cenu aptaujas</w:t>
      </w:r>
      <w:r w:rsidR="00865417">
        <w:rPr>
          <w:rFonts w:ascii="Times New Roman" w:eastAsia="Times New Roman" w:hAnsi="Times New Roman" w:cs="Times New Roman"/>
          <w:color w:val="000000"/>
          <w:lang w:eastAsia="lv-LV"/>
        </w:rPr>
        <w:t xml:space="preserve"> identifikācijas Nr. </w:t>
      </w:r>
      <w:r w:rsidR="002508A0" w:rsidRPr="002508A0">
        <w:rPr>
          <w:rFonts w:ascii="Times New Roman" w:eastAsia="Times New Roman" w:hAnsi="Times New Roman" w:cs="Times New Roman"/>
          <w:color w:val="000000"/>
          <w:lang w:eastAsia="lv-LV"/>
        </w:rPr>
        <w:t>JS28/08/2025</w:t>
      </w:r>
      <w:r w:rsidR="00865417" w:rsidRPr="002546A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1955519" w14:textId="37639D7A" w:rsidR="00CA2549" w:rsidRPr="002546AD" w:rsidRDefault="00CA2549" w:rsidP="00865417">
      <w:pPr>
        <w:widowControl w:val="0"/>
        <w:autoSpaceDE w:val="0"/>
        <w:autoSpaceDN w:val="0"/>
        <w:adjustRightInd w:val="0"/>
        <w:spacing w:after="0" w:line="260" w:lineRule="atLeast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Pielikums Nr.1</w:t>
      </w:r>
    </w:p>
    <w:p w14:paraId="24520A9F" w14:textId="77777777" w:rsidR="00865417" w:rsidRPr="002546AD" w:rsidRDefault="00865417" w:rsidP="00865417">
      <w:pPr>
        <w:widowControl w:val="0"/>
        <w:autoSpaceDE w:val="0"/>
        <w:autoSpaceDN w:val="0"/>
        <w:adjustRightInd w:val="0"/>
        <w:spacing w:after="375" w:line="25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578309A8" w14:textId="6164364D" w:rsidR="00215187" w:rsidRPr="00715C2E" w:rsidRDefault="00865417" w:rsidP="00CA3ED5">
      <w:pPr>
        <w:widowControl w:val="0"/>
        <w:autoSpaceDE w:val="0"/>
        <w:autoSpaceDN w:val="0"/>
        <w:adjustRightInd w:val="0"/>
        <w:spacing w:after="375" w:line="25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15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TEHNISKĀ SPECIFIKĀCIJA</w:t>
      </w:r>
    </w:p>
    <w:p w14:paraId="72BA5217" w14:textId="781754F5" w:rsidR="00865417" w:rsidRPr="002546AD" w:rsidRDefault="00865417" w:rsidP="00672F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15C2E">
        <w:rPr>
          <w:rFonts w:ascii="Times New Roman" w:eastAsia="Times New Roman" w:hAnsi="Times New Roman" w:cs="Times New Roman"/>
          <w:b/>
          <w:sz w:val="24"/>
          <w:szCs w:val="24"/>
        </w:rPr>
        <w:t xml:space="preserve">Mērķis: </w:t>
      </w:r>
      <w:r w:rsidRPr="00715C2E">
        <w:rPr>
          <w:rFonts w:ascii="Times New Roman" w:eastAsia="Times New Roman" w:hAnsi="Times New Roman" w:cs="Times New Roman"/>
          <w:sz w:val="24"/>
          <w:szCs w:val="24"/>
        </w:rPr>
        <w:t xml:space="preserve">nodrošināt </w:t>
      </w:r>
      <w:r w:rsidR="00AF531C" w:rsidRPr="00715C2E">
        <w:rPr>
          <w:rFonts w:ascii="Times New Roman" w:eastAsia="Times New Roman" w:hAnsi="Times New Roman" w:cs="Times New Roman"/>
          <w:bCs/>
          <w:sz w:val="24"/>
          <w:szCs w:val="24"/>
        </w:rPr>
        <w:t>SIA “Jūrmalas siltums”</w:t>
      </w:r>
      <w:r w:rsidRPr="0071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sniedzamo pakalpojumu – Resursu vadības </w:t>
      </w:r>
      <w:r w:rsidR="00F3505A" w:rsidRPr="00715C2E">
        <w:rPr>
          <w:rFonts w:ascii="Times New Roman" w:eastAsia="Times New Roman" w:hAnsi="Times New Roman" w:cs="Times New Roman"/>
          <w:bCs/>
          <w:sz w:val="24"/>
          <w:szCs w:val="24"/>
        </w:rPr>
        <w:t>sistēmas</w:t>
      </w:r>
      <w:r w:rsidRPr="0071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31C" w:rsidRPr="00715C2E">
        <w:rPr>
          <w:rFonts w:ascii="Times New Roman" w:eastAsia="Times New Roman" w:hAnsi="Times New Roman" w:cs="Times New Roman"/>
          <w:bCs/>
          <w:sz w:val="24"/>
          <w:szCs w:val="24"/>
        </w:rPr>
        <w:t xml:space="preserve">(RVS) </w:t>
      </w:r>
      <w:proofErr w:type="spellStart"/>
      <w:r w:rsidRPr="00715C2E">
        <w:rPr>
          <w:rFonts w:ascii="Times New Roman" w:eastAsia="Times New Roman" w:hAnsi="Times New Roman" w:cs="Times New Roman"/>
          <w:bCs/>
          <w:sz w:val="24"/>
          <w:szCs w:val="24"/>
        </w:rPr>
        <w:t>Horizon</w:t>
      </w:r>
      <w:proofErr w:type="spellEnd"/>
      <w:r w:rsidRPr="0071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1E4B" w:rsidRPr="00715C2E">
        <w:rPr>
          <w:rFonts w:ascii="Times New Roman" w:eastAsia="Times New Roman" w:hAnsi="Times New Roman" w:cs="Times New Roman"/>
          <w:bCs/>
          <w:sz w:val="24"/>
          <w:szCs w:val="24"/>
        </w:rPr>
        <w:t xml:space="preserve">darbības </w:t>
      </w:r>
      <w:r w:rsidRPr="00715C2E">
        <w:rPr>
          <w:rFonts w:ascii="Times New Roman" w:eastAsia="Times New Roman" w:hAnsi="Times New Roman" w:cs="Times New Roman"/>
          <w:bCs/>
          <w:sz w:val="24"/>
          <w:szCs w:val="24"/>
        </w:rPr>
        <w:t>uzturēšana</w:t>
      </w:r>
      <w:r w:rsidR="00E729A6" w:rsidRPr="00715C2E">
        <w:rPr>
          <w:rFonts w:ascii="Times New Roman" w:eastAsia="Times New Roman" w:hAnsi="Times New Roman" w:cs="Times New Roman"/>
          <w:bCs/>
          <w:sz w:val="24"/>
          <w:szCs w:val="24"/>
        </w:rPr>
        <w:t>s atbalstu</w:t>
      </w:r>
      <w:r w:rsidR="0030674D">
        <w:rPr>
          <w:rFonts w:ascii="Times New Roman" w:eastAsia="Times New Roman" w:hAnsi="Times New Roman" w:cs="Times New Roman"/>
          <w:bCs/>
          <w:sz w:val="24"/>
          <w:szCs w:val="24"/>
        </w:rPr>
        <w:t xml:space="preserve">, konfigurēšanu </w:t>
      </w:r>
      <w:r w:rsidR="00E4678F">
        <w:rPr>
          <w:rFonts w:ascii="Times New Roman" w:eastAsia="Times New Roman" w:hAnsi="Times New Roman" w:cs="Times New Roman"/>
          <w:bCs/>
          <w:sz w:val="24"/>
          <w:szCs w:val="24"/>
        </w:rPr>
        <w:t>saskaņā ar pasūtītāja vajadzībām</w:t>
      </w:r>
      <w:r w:rsidR="009519E3">
        <w:rPr>
          <w:rFonts w:ascii="Times New Roman" w:eastAsia="Times New Roman" w:hAnsi="Times New Roman" w:cs="Times New Roman"/>
          <w:bCs/>
          <w:sz w:val="24"/>
          <w:szCs w:val="24"/>
        </w:rPr>
        <w:t>, ievērojot</w:t>
      </w:r>
      <w:r w:rsidR="009519E3" w:rsidRPr="006E7E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normatīvo aktu prasīb</w:t>
      </w:r>
      <w:r w:rsidR="00951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="00E729A6" w:rsidRPr="0071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C2E">
        <w:rPr>
          <w:rFonts w:ascii="Times New Roman" w:eastAsia="Times New Roman" w:hAnsi="Times New Roman" w:cs="Times New Roman"/>
          <w:bCs/>
          <w:sz w:val="24"/>
          <w:szCs w:val="24"/>
        </w:rPr>
        <w:t>un konsultāciju sniegšan</w:t>
      </w:r>
      <w:r w:rsidR="00715C2E" w:rsidRPr="00715C2E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3C759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546A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AF53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531C">
        <w:rPr>
          <w:rFonts w:ascii="Times New Roman" w:eastAsia="Times New Roman" w:hAnsi="Times New Roman" w:cs="Times New Roman"/>
          <w:sz w:val="24"/>
          <w:szCs w:val="24"/>
        </w:rPr>
        <w:t>piecus</w:t>
      </w:r>
      <w:r>
        <w:rPr>
          <w:rFonts w:ascii="Times New Roman" w:eastAsia="Times New Roman" w:hAnsi="Times New Roman" w:cs="Times New Roman"/>
          <w:sz w:val="24"/>
          <w:szCs w:val="24"/>
        </w:rPr>
        <w:t>) gadu</w:t>
      </w:r>
      <w:r w:rsidR="00AF53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 xml:space="preserve"> no līguma spēkā stāšanās brīža</w:t>
      </w:r>
      <w:r w:rsidR="00CD6EC5">
        <w:rPr>
          <w:rFonts w:ascii="Times New Roman" w:eastAsia="Times New Roman" w:hAnsi="Times New Roman" w:cs="Times New Roman"/>
          <w:sz w:val="24"/>
          <w:szCs w:val="24"/>
        </w:rPr>
        <w:t>, ar iespēju</w:t>
      </w:r>
      <w:r w:rsidR="00672F03">
        <w:rPr>
          <w:rFonts w:ascii="Times New Roman" w:eastAsia="Times New Roman" w:hAnsi="Times New Roman" w:cs="Times New Roman"/>
          <w:sz w:val="24"/>
          <w:szCs w:val="24"/>
        </w:rPr>
        <w:t xml:space="preserve"> līguma termiņu</w:t>
      </w:r>
      <w:r w:rsidR="00CD6EC5">
        <w:rPr>
          <w:rFonts w:ascii="Times New Roman" w:eastAsia="Times New Roman" w:hAnsi="Times New Roman" w:cs="Times New Roman"/>
          <w:sz w:val="24"/>
          <w:szCs w:val="24"/>
        </w:rPr>
        <w:t xml:space="preserve"> pagarināt</w:t>
      </w:r>
      <w:r w:rsidRPr="002546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C4266" w14:textId="4C443AC1" w:rsidR="00865417" w:rsidRPr="002546AD" w:rsidRDefault="00865417" w:rsidP="00672F0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25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Tehniskais apraksts: </w:t>
      </w:r>
      <w:r w:rsidRPr="002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pretendentam jānodrošina </w:t>
      </w:r>
      <w:proofErr w:type="gramStart"/>
      <w:r w:rsidRPr="002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šādus resursu vadības </w:t>
      </w:r>
      <w:r w:rsidR="00941E4B">
        <w:rPr>
          <w:rFonts w:ascii="Times New Roman" w:eastAsia="Times New Roman" w:hAnsi="Times New Roman" w:cs="Times New Roman"/>
          <w:bCs/>
          <w:noProof/>
          <w:lang w:eastAsia="lv-LV"/>
        </w:rPr>
        <w:t>sistēmas</w:t>
      </w:r>
      <w:r w:rsidRPr="002546AD">
        <w:rPr>
          <w:rFonts w:ascii="Times New Roman" w:eastAsia="Times New Roman" w:hAnsi="Times New Roman" w:cs="Times New Roman"/>
          <w:bCs/>
          <w:noProof/>
          <w:lang w:eastAsia="lv-LV"/>
        </w:rPr>
        <w:t xml:space="preserve"> Horizon</w:t>
      </w:r>
      <w:r w:rsidRPr="002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uzturēšanas un atbalsta pakalpojumus</w:t>
      </w:r>
      <w:proofErr w:type="gramEnd"/>
      <w:r w:rsidRPr="002546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:</w:t>
      </w:r>
    </w:p>
    <w:p w14:paraId="32BC419C" w14:textId="70C6100B" w:rsidR="00865417" w:rsidRPr="002546AD" w:rsidRDefault="00E4678F" w:rsidP="00E467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65417" w:rsidRPr="002546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Tabula Nr. 1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46"/>
        <w:gridCol w:w="9043"/>
      </w:tblGrid>
      <w:tr w:rsidR="00865417" w:rsidRPr="002546AD" w14:paraId="1583A152" w14:textId="77777777" w:rsidTr="00153FAB">
        <w:trPr>
          <w:trHeight w:val="5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CF91" w14:textId="77777777" w:rsidR="00865417" w:rsidRPr="002546AD" w:rsidRDefault="00865417" w:rsidP="0016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DBF9" w14:textId="77777777" w:rsidR="00865417" w:rsidRPr="002546AD" w:rsidRDefault="00865417" w:rsidP="0016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Tehnisk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 </w:t>
            </w:r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specifikācij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</w:tr>
      <w:tr w:rsidR="00865417" w:rsidRPr="002546AD" w14:paraId="5DBDC888" w14:textId="77777777" w:rsidTr="0016492D">
        <w:trPr>
          <w:trHeight w:val="293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93AA" w14:textId="4E82D437" w:rsidR="00865417" w:rsidRPr="002546AD" w:rsidRDefault="00865417" w:rsidP="0016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2.1. Resursu vadības </w:t>
            </w:r>
            <w:r w:rsidR="00215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sistēmas</w:t>
            </w:r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Horizon</w:t>
            </w:r>
            <w:proofErr w:type="spellEnd"/>
            <w:r w:rsidRPr="0025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uzturēšana (pamata atbalsts)</w:t>
            </w:r>
          </w:p>
        </w:tc>
      </w:tr>
      <w:tr w:rsidR="00830803" w:rsidRPr="002546AD" w14:paraId="01BDDCF7" w14:textId="77777777" w:rsidTr="00153FAB">
        <w:trPr>
          <w:trHeight w:val="8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AAF" w14:textId="68DFF66F" w:rsidR="00830803" w:rsidRPr="002546AD" w:rsidRDefault="00830803" w:rsidP="0016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2.1.1.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FCB7" w14:textId="193E46D8" w:rsidR="00830803" w:rsidRPr="002546AD" w:rsidRDefault="00087312" w:rsidP="001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droši</w:t>
            </w:r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nāt </w:t>
            </w:r>
            <w:r w:rsid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pasūtītāja RVS </w:t>
            </w:r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  <w:proofErr w:type="spellStart"/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Horizon</w:t>
            </w:r>
            <w:proofErr w:type="spellEnd"/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uzturēšanu</w:t>
            </w:r>
            <w:proofErr w:type="gramStart"/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gramEnd"/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 konfigurēšanu saskaņ</w:t>
            </w:r>
            <w:r w:rsidR="004D3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</w:t>
            </w:r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pasūtītāja vajadzībām, </w:t>
            </w:r>
            <w:r w:rsidR="00E27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programmas</w:t>
            </w:r>
            <w:r w:rsidR="006E7EF0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izstrādātāja vadlīnijām, un atbilstoši normatīvo aktu prasībām.</w:t>
            </w:r>
          </w:p>
        </w:tc>
      </w:tr>
      <w:tr w:rsidR="00865417" w:rsidRPr="002546AD" w14:paraId="307D1832" w14:textId="77777777" w:rsidTr="00153FAB">
        <w:trPr>
          <w:trHeight w:val="8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F946" w14:textId="60CB61D4" w:rsidR="00865417" w:rsidRPr="002546AD" w:rsidRDefault="00865417" w:rsidP="0016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  <w:r w:rsidR="005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389" w14:textId="3F201F8B" w:rsidR="00865417" w:rsidRPr="002546AD" w:rsidRDefault="00865417" w:rsidP="001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izmaiņu veikšana </w:t>
            </w:r>
            <w:r w:rsidR="00C1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RVS </w:t>
            </w:r>
            <w:r w:rsidR="00C13C63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  <w:proofErr w:type="spellStart"/>
            <w:r w:rsidR="00C13C63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Horizon</w:t>
            </w:r>
            <w:proofErr w:type="spellEnd"/>
            <w:r w:rsidR="00C13C63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  <w:proofErr w:type="gramStart"/>
            <w:r w:rsidR="00C13C63" w:rsidRPr="006E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gramEnd"/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funkcionalitātē atbilstoši spēkā esošajiem Latvijas Republikas normatīvajiem aktiem, ja tas attiecas uz kādu programmas sastāvdaļas darbību. Izmaiņām programmā jābūt veiktām datumā, kad stājas spēkā attiecīgie grozījumi normatīvajos aktos</w:t>
            </w:r>
            <w:r w:rsidR="0088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865417" w:rsidRPr="002546AD" w14:paraId="0DED70D3" w14:textId="77777777" w:rsidTr="00153FAB">
        <w:trPr>
          <w:trHeight w:val="3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F72" w14:textId="2139DA2E" w:rsidR="00865417" w:rsidRPr="002546AD" w:rsidRDefault="00865417" w:rsidP="0016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  <w:r w:rsidR="005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49E" w14:textId="23C67E91" w:rsidR="00865417" w:rsidRPr="002546AD" w:rsidRDefault="00865417" w:rsidP="001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nodrošināt </w:t>
            </w:r>
            <w:r w:rsidRPr="0025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RVS „</w:t>
            </w:r>
            <w:proofErr w:type="spellStart"/>
            <w:r w:rsidRPr="0025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Horizon</w:t>
            </w:r>
            <w:proofErr w:type="spellEnd"/>
            <w:r w:rsidRPr="0025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”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atjauninājumu uzstādīšanu, iepriekš saskaņojot ar </w:t>
            </w:r>
            <w:r w:rsidR="0048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pasūtītāja 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kontaktpersonu atjauninājumu uzstādīšanas laiku.</w:t>
            </w:r>
          </w:p>
        </w:tc>
      </w:tr>
      <w:tr w:rsidR="00883169" w:rsidRPr="002546AD" w14:paraId="4A924BBC" w14:textId="77777777" w:rsidTr="00153FAB">
        <w:trPr>
          <w:trHeight w:val="7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636" w14:textId="4C2BE497" w:rsidR="00883169" w:rsidRPr="002546AD" w:rsidRDefault="00883169" w:rsidP="0088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  <w:r w:rsidR="005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847C" w14:textId="113E7F39" w:rsidR="00883169" w:rsidRPr="002546AD" w:rsidRDefault="00883169" w:rsidP="00153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pretendents nozīmē konsultantu, kurš sadarbojas ar pasūtītāju līguma darbības laikā un kurš nodrošina konsultācijas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“Jūrmalas siltums”</w:t>
            </w:r>
            <w:r w:rsidRPr="002546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242D6" w:rsidRPr="002242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RVS "</w:t>
            </w:r>
            <w:proofErr w:type="spellStart"/>
            <w:r w:rsidR="002242D6" w:rsidRPr="002242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Horizon</w:t>
            </w:r>
            <w:proofErr w:type="spellEnd"/>
            <w:r w:rsidR="002242D6" w:rsidRPr="002242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" </w:t>
            </w:r>
            <w:r w:rsidR="002242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darbības</w:t>
            </w:r>
            <w:r w:rsidRPr="002546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nodrošināšanai</w:t>
            </w:r>
            <w:r w:rsidR="00B04A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lietotāju konsultēšanai</w:t>
            </w:r>
            <w:r w:rsidRPr="002546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883169" w:rsidRPr="002546AD" w14:paraId="5246B361" w14:textId="77777777" w:rsidTr="00153FAB">
        <w:trPr>
          <w:trHeight w:val="5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3819" w14:textId="1026EF5A" w:rsidR="00883169" w:rsidRPr="002546AD" w:rsidRDefault="00883169" w:rsidP="0088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  <w:r w:rsidR="005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7E4" w14:textId="78660223" w:rsidR="00883169" w:rsidRPr="002546AD" w:rsidRDefault="00883169" w:rsidP="001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risināt un novērst Pasūtītāja atklātās </w:t>
            </w:r>
            <w:r w:rsidRPr="0025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RVS „</w:t>
            </w:r>
            <w:proofErr w:type="spellStart"/>
            <w:r w:rsidRPr="0025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Horizon</w:t>
            </w:r>
            <w:proofErr w:type="spellEnd"/>
            <w:r w:rsidRPr="00254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” 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kļūdas</w:t>
            </w:r>
            <w:r w:rsidR="00153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2F2C66" w:rsidRPr="002546AD" w14:paraId="4BBEC0D2" w14:textId="77777777" w:rsidTr="00153FAB">
        <w:trPr>
          <w:trHeight w:val="5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9A0C" w14:textId="481C231C" w:rsidR="002F2C66" w:rsidRPr="002546AD" w:rsidRDefault="002F2C66" w:rsidP="0088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2.1.6.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8D69" w14:textId="187D2CCF" w:rsidR="002F2C66" w:rsidRPr="002546AD" w:rsidRDefault="002F2C66" w:rsidP="001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Informēt Pasūtītāju par atklātām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kļūdām,</w:t>
            </w:r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ievainojamībām</w:t>
            </w:r>
            <w:proofErr w:type="spellEnd"/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nepilnībām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RVS </w:t>
            </w:r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</w:t>
            </w:r>
            <w:proofErr w:type="spellStart"/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Horizon</w:t>
            </w:r>
            <w:proofErr w:type="spellEnd"/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vai tās konfigurācij</w:t>
            </w:r>
            <w:r w:rsidR="00C1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</w:t>
            </w:r>
            <w:r w:rsidRP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piedāvāt risinājumus to novēršanai.</w:t>
            </w:r>
          </w:p>
        </w:tc>
      </w:tr>
      <w:tr w:rsidR="00883169" w:rsidRPr="002546AD" w14:paraId="185A30C4" w14:textId="77777777" w:rsidTr="00153FAB">
        <w:trPr>
          <w:trHeight w:val="5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6A00" w14:textId="3B05E8BE" w:rsidR="00883169" w:rsidRPr="002546AD" w:rsidRDefault="00883169" w:rsidP="0088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  <w:r w:rsidR="002F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7311" w14:textId="51599E87" w:rsidR="00883169" w:rsidRPr="002546AD" w:rsidRDefault="00883169" w:rsidP="00153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pārskatu noformēšana atbilstoši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likumu un </w:t>
            </w: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MK noteikumu prasībām</w:t>
            </w:r>
          </w:p>
        </w:tc>
      </w:tr>
      <w:tr w:rsidR="00883169" w:rsidRPr="002546AD" w14:paraId="3B9A878C" w14:textId="77777777" w:rsidTr="0016492D">
        <w:trPr>
          <w:trHeight w:val="373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7DA8" w14:textId="665E6346" w:rsidR="00883169" w:rsidRPr="002546AD" w:rsidRDefault="00883169" w:rsidP="00153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2.2. Resursu vadības </w:t>
            </w:r>
            <w:r w:rsidR="0021518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sistēmas</w:t>
            </w:r>
            <w:r w:rsidRPr="002546A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proofErr w:type="spellStart"/>
            <w:r w:rsidRPr="002546A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Horizon</w:t>
            </w:r>
            <w:proofErr w:type="spellEnd"/>
            <w:r w:rsidRPr="002546A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konsultāciju sniegšana klātienē un neklātienē</w:t>
            </w:r>
          </w:p>
        </w:tc>
      </w:tr>
      <w:tr w:rsidR="00883169" w:rsidRPr="002546AD" w14:paraId="6297A307" w14:textId="77777777" w:rsidTr="00153FAB">
        <w:trPr>
          <w:trHeight w:val="3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E6D1" w14:textId="77777777" w:rsidR="00883169" w:rsidRPr="002546AD" w:rsidRDefault="00883169" w:rsidP="0088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2.2.1.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B6A" w14:textId="2064E061" w:rsidR="00883169" w:rsidRPr="002546AD" w:rsidRDefault="00883169" w:rsidP="00153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46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pretendents konsultāciju sniegšanu nodrošina gan telefoniski, gan klātienē, izbraucot pie pasūtītāja, nodrošinot nepieciešamo atbalstu sistēmas lietošanā. </w:t>
            </w:r>
            <w:r w:rsidR="004B17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FD6EF6" w:rsidRPr="00FD6E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odrošināt attālinātu palīdzību lietotājiem, sniedzot konsultācijas neklātienē vai pieslēdzoties pie Pasūtītāja RVS „</w:t>
            </w:r>
            <w:proofErr w:type="spellStart"/>
            <w:r w:rsidR="00FD6EF6" w:rsidRPr="00FD6E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Horizon</w:t>
            </w:r>
            <w:proofErr w:type="spellEnd"/>
            <w:r w:rsidR="00FD6EF6" w:rsidRPr="00FD6E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lietotāju darbstacijām attālinātajā režīmā. </w:t>
            </w:r>
            <w:r w:rsidRPr="002546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pasūtītājam konsultācijas nepieciešamas klātienē, puses iepriekš saskaņo konsultācijas sniegšanas laiku. </w:t>
            </w:r>
          </w:p>
        </w:tc>
      </w:tr>
      <w:tr w:rsidR="0028368E" w:rsidRPr="002546AD" w14:paraId="5EDDC1E8" w14:textId="77777777" w:rsidTr="007E768A">
        <w:trPr>
          <w:trHeight w:val="802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B482" w14:textId="412487EB" w:rsidR="0028368E" w:rsidRPr="002546AD" w:rsidRDefault="0028368E" w:rsidP="00153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  <w:r w:rsidR="0053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Pr="0028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Pr="0028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  <w:t xml:space="preserve">HOP rēķini - </w:t>
            </w:r>
            <w:r w:rsidRPr="00477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risinājumu ieviešana </w:t>
            </w:r>
            <w:proofErr w:type="gramStart"/>
            <w:r w:rsidRPr="00477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 Pasūtītāja pieprasījuma, nodrošinot to ieviešanu, uzturēšanu un apmācību</w:t>
            </w:r>
            <w:proofErr w:type="gramEnd"/>
            <w:r w:rsidRPr="00477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</w:tbl>
    <w:p w14:paraId="6884E207" w14:textId="77777777" w:rsidR="007E768A" w:rsidRDefault="007E768A" w:rsidP="007E768A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CA7D51" w14:textId="77777777" w:rsidR="005A132C" w:rsidRPr="002546AD" w:rsidRDefault="005A132C" w:rsidP="007E768A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5A132C" w:rsidRPr="00254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1FC"/>
    <w:multiLevelType w:val="multilevel"/>
    <w:tmpl w:val="9830CF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DF2629"/>
    <w:multiLevelType w:val="hybridMultilevel"/>
    <w:tmpl w:val="BC92E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336286">
    <w:abstractNumId w:val="0"/>
  </w:num>
  <w:num w:numId="2" w16cid:durableId="122502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17"/>
    <w:rsid w:val="00087312"/>
    <w:rsid w:val="000B55C3"/>
    <w:rsid w:val="000D5519"/>
    <w:rsid w:val="00153FAB"/>
    <w:rsid w:val="00164F9A"/>
    <w:rsid w:val="00167AAB"/>
    <w:rsid w:val="001E58B7"/>
    <w:rsid w:val="00215187"/>
    <w:rsid w:val="002242D6"/>
    <w:rsid w:val="002508A0"/>
    <w:rsid w:val="0026506D"/>
    <w:rsid w:val="0028368E"/>
    <w:rsid w:val="002872A9"/>
    <w:rsid w:val="002B3EDC"/>
    <w:rsid w:val="002F2C66"/>
    <w:rsid w:val="0030674D"/>
    <w:rsid w:val="003A3EF9"/>
    <w:rsid w:val="003C316F"/>
    <w:rsid w:val="003C7598"/>
    <w:rsid w:val="00461419"/>
    <w:rsid w:val="00477078"/>
    <w:rsid w:val="004819A2"/>
    <w:rsid w:val="004B17BE"/>
    <w:rsid w:val="004D3E21"/>
    <w:rsid w:val="00515759"/>
    <w:rsid w:val="005322A5"/>
    <w:rsid w:val="005A1035"/>
    <w:rsid w:val="005A132C"/>
    <w:rsid w:val="005C045E"/>
    <w:rsid w:val="005D2434"/>
    <w:rsid w:val="00631241"/>
    <w:rsid w:val="00640DE4"/>
    <w:rsid w:val="00672F03"/>
    <w:rsid w:val="006E7EF0"/>
    <w:rsid w:val="00710845"/>
    <w:rsid w:val="00715C2E"/>
    <w:rsid w:val="007D3CD5"/>
    <w:rsid w:val="007E768A"/>
    <w:rsid w:val="00810E4E"/>
    <w:rsid w:val="00830803"/>
    <w:rsid w:val="008629F5"/>
    <w:rsid w:val="00865417"/>
    <w:rsid w:val="00883169"/>
    <w:rsid w:val="008A576D"/>
    <w:rsid w:val="00921563"/>
    <w:rsid w:val="00941E4B"/>
    <w:rsid w:val="009519E3"/>
    <w:rsid w:val="00A1477D"/>
    <w:rsid w:val="00A33CA6"/>
    <w:rsid w:val="00A71816"/>
    <w:rsid w:val="00A72F4B"/>
    <w:rsid w:val="00A83B47"/>
    <w:rsid w:val="00A94AF6"/>
    <w:rsid w:val="00AC17A7"/>
    <w:rsid w:val="00AF531C"/>
    <w:rsid w:val="00B04ACF"/>
    <w:rsid w:val="00BF1CB5"/>
    <w:rsid w:val="00BF3788"/>
    <w:rsid w:val="00C13C63"/>
    <w:rsid w:val="00C26E39"/>
    <w:rsid w:val="00C34D72"/>
    <w:rsid w:val="00C52DAB"/>
    <w:rsid w:val="00C54232"/>
    <w:rsid w:val="00C83A3C"/>
    <w:rsid w:val="00C91089"/>
    <w:rsid w:val="00CA2549"/>
    <w:rsid w:val="00CA3ED5"/>
    <w:rsid w:val="00CD6EC5"/>
    <w:rsid w:val="00D80049"/>
    <w:rsid w:val="00DF5CC5"/>
    <w:rsid w:val="00E27EE1"/>
    <w:rsid w:val="00E4678F"/>
    <w:rsid w:val="00E55C9B"/>
    <w:rsid w:val="00E6193C"/>
    <w:rsid w:val="00E729A6"/>
    <w:rsid w:val="00EC11EA"/>
    <w:rsid w:val="00EC7EA8"/>
    <w:rsid w:val="00F3505A"/>
    <w:rsid w:val="00F64657"/>
    <w:rsid w:val="00F91A13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2F0BA"/>
  <w15:chartTrackingRefBased/>
  <w15:docId w15:val="{45E22FF8-DFF7-4392-9010-8B61FB4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1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41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41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1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665A-C582-4ECE-8DCA-69877B69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878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Usačeva</dc:creator>
  <cp:keywords/>
  <dc:description/>
  <cp:lastModifiedBy>Iveta Civcisa</cp:lastModifiedBy>
  <cp:revision>2</cp:revision>
  <cp:lastPrinted>2025-09-02T14:14:00Z</cp:lastPrinted>
  <dcterms:created xsi:type="dcterms:W3CDTF">2025-09-03T11:57:00Z</dcterms:created>
  <dcterms:modified xsi:type="dcterms:W3CDTF">2025-09-03T11:57:00Z</dcterms:modified>
</cp:coreProperties>
</file>